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A2A39C" w14:textId="0A6D60FB" w:rsidR="002319F8" w:rsidRPr="005D3989" w:rsidRDefault="00B91E46" w:rsidP="006B2A4C">
      <w:pPr>
        <w:spacing w:line="240" w:lineRule="auto"/>
        <w:ind w:right="-142"/>
        <w:rPr>
          <w:rFonts w:ascii="Arial" w:hAnsi="Arial" w:cs="Arial"/>
          <w:b/>
          <w:bCs/>
          <w:sz w:val="28"/>
          <w:szCs w:val="28"/>
          <w:lang w:val="en-US"/>
        </w:rPr>
      </w:pPr>
      <w:r w:rsidRPr="005D3989">
        <w:rPr>
          <w:rFonts w:ascii="Arial" w:hAnsi="Arial" w:cs="Arial"/>
          <w:b/>
          <w:bCs/>
          <w:sz w:val="28"/>
          <w:szCs w:val="28"/>
          <w:lang w:val="en-US"/>
        </w:rPr>
        <w:t xml:space="preserve">Press Release </w:t>
      </w:r>
    </w:p>
    <w:p w14:paraId="035E3CF6" w14:textId="77777777" w:rsidR="00B91E46" w:rsidRPr="005D3989" w:rsidRDefault="00B91E46" w:rsidP="006B2A4C">
      <w:pPr>
        <w:spacing w:line="240" w:lineRule="auto"/>
        <w:ind w:right="-142"/>
        <w:rPr>
          <w:rFonts w:ascii="Arial" w:hAnsi="Arial" w:cs="Arial"/>
          <w:b/>
          <w:bCs/>
          <w:sz w:val="24"/>
          <w:lang w:val="en-US"/>
        </w:rPr>
      </w:pPr>
    </w:p>
    <w:p w14:paraId="769F03DD" w14:textId="0B4F0368" w:rsidR="00B068BE" w:rsidRDefault="00C964DF" w:rsidP="00471E0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C964DF">
        <w:rPr>
          <w:rFonts w:ascii="Arial" w:hAnsi="Arial" w:cs="Arial"/>
          <w:b/>
          <w:bCs/>
          <w:lang w:val="en-US"/>
        </w:rPr>
        <w:t>GMH Gruppe completes restructuring</w:t>
      </w:r>
    </w:p>
    <w:p w14:paraId="7ABBC5DB" w14:textId="77777777" w:rsidR="004329E3" w:rsidRDefault="004329E3" w:rsidP="00471E06">
      <w:pPr>
        <w:pStyle w:val="Default"/>
        <w:jc w:val="both"/>
        <w:rPr>
          <w:rFonts w:ascii="Arial" w:hAnsi="Arial" w:cs="Arial"/>
          <w:lang w:val="en-US"/>
        </w:rPr>
      </w:pPr>
    </w:p>
    <w:p w14:paraId="61736895" w14:textId="5195842E" w:rsidR="004329E3" w:rsidRPr="004329E3" w:rsidRDefault="004329E3" w:rsidP="00471E06">
      <w:pPr>
        <w:pStyle w:val="Default"/>
        <w:jc w:val="both"/>
        <w:rPr>
          <w:rFonts w:ascii="Arial" w:hAnsi="Arial" w:cs="Arial"/>
          <w:lang w:val="en-US"/>
        </w:rPr>
      </w:pPr>
      <w:r w:rsidRPr="004329E3">
        <w:rPr>
          <w:rFonts w:ascii="Arial" w:hAnsi="Arial" w:cs="Arial"/>
          <w:lang w:val="en-US"/>
        </w:rPr>
        <w:t xml:space="preserve">Securing the future of the family business for generations to come and ensuring long-term growth in </w:t>
      </w:r>
      <w:r>
        <w:rPr>
          <w:rFonts w:ascii="Arial" w:hAnsi="Arial" w:cs="Arial"/>
          <w:lang w:val="en-US"/>
        </w:rPr>
        <w:t>its</w:t>
      </w:r>
      <w:r w:rsidRPr="004329E3">
        <w:rPr>
          <w:rFonts w:ascii="Arial" w:hAnsi="Arial" w:cs="Arial"/>
          <w:lang w:val="en-US"/>
        </w:rPr>
        <w:t xml:space="preserve"> core business</w:t>
      </w:r>
    </w:p>
    <w:p w14:paraId="01E33C0D" w14:textId="77777777" w:rsidR="004329E3" w:rsidRPr="00471E06" w:rsidRDefault="004329E3" w:rsidP="00471E0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4C7A3B79" w14:textId="77777777" w:rsidR="004329E3" w:rsidRDefault="004329E3" w:rsidP="00471E0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5C1C3274" w14:textId="3AEDE036" w:rsidR="004329E3" w:rsidRPr="004329E3" w:rsidRDefault="004329E3" w:rsidP="00471E0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4329E3">
        <w:rPr>
          <w:rFonts w:ascii="Arial" w:hAnsi="Arial" w:cs="Arial"/>
          <w:b/>
          <w:bCs/>
          <w:sz w:val="22"/>
          <w:szCs w:val="22"/>
          <w:lang w:val="en-US"/>
        </w:rPr>
        <w:t xml:space="preserve">Georgsmarienhütte, </w:t>
      </w:r>
      <w:r w:rsidR="00797437">
        <w:rPr>
          <w:rFonts w:ascii="Arial" w:hAnsi="Arial" w:cs="Arial"/>
          <w:b/>
          <w:bCs/>
          <w:sz w:val="22"/>
          <w:szCs w:val="22"/>
          <w:lang w:val="en-US"/>
        </w:rPr>
        <w:t>20</w:t>
      </w:r>
      <w:r w:rsidRPr="004329E3">
        <w:rPr>
          <w:rFonts w:ascii="Arial" w:hAnsi="Arial" w:cs="Arial"/>
          <w:b/>
          <w:bCs/>
          <w:sz w:val="22"/>
          <w:szCs w:val="22"/>
          <w:lang w:val="en-US"/>
        </w:rPr>
        <w:t xml:space="preserve"> October 2025</w:t>
      </w:r>
      <w:r w:rsidRPr="004329E3">
        <w:rPr>
          <w:rFonts w:ascii="Arial" w:hAnsi="Arial" w:cs="Arial"/>
          <w:sz w:val="22"/>
          <w:szCs w:val="22"/>
          <w:lang w:val="en-US"/>
        </w:rPr>
        <w:t xml:space="preserve"> – GMH Gruppe has successfully completed its restructuring, marking an important step toward long-term stability, enhanced competitiveness, and the safeguarding of future investments.</w:t>
      </w:r>
    </w:p>
    <w:p w14:paraId="5EDE5F51" w14:textId="77777777" w:rsidR="00F809F8" w:rsidRPr="005D3989" w:rsidRDefault="00F809F8" w:rsidP="00471E0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71FC8EE0" w14:textId="2C138EEE" w:rsidR="00533623" w:rsidRDefault="00471E06" w:rsidP="00471E0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5D3989">
        <w:rPr>
          <w:rFonts w:ascii="Arial" w:hAnsi="Arial" w:cs="Arial"/>
          <w:sz w:val="22"/>
          <w:szCs w:val="22"/>
          <w:lang w:val="en-US"/>
        </w:rPr>
        <w:t xml:space="preserve">The Group’s industrial activities are now consolidated under GMH Gruppe SE &amp; Co. KG, which </w:t>
      </w:r>
      <w:r w:rsidR="005C3758" w:rsidRPr="005C3758">
        <w:rPr>
          <w:rFonts w:ascii="Arial" w:hAnsi="Arial" w:cs="Arial"/>
          <w:sz w:val="22"/>
          <w:szCs w:val="22"/>
          <w:lang w:val="en-US"/>
        </w:rPr>
        <w:t xml:space="preserve"> maintains and develops the </w:t>
      </w:r>
      <w:r w:rsidR="004329E3">
        <w:rPr>
          <w:rFonts w:ascii="Arial" w:hAnsi="Arial" w:cs="Arial"/>
          <w:sz w:val="22"/>
          <w:szCs w:val="22"/>
          <w:lang w:val="en-US"/>
        </w:rPr>
        <w:t xml:space="preserve">company´s </w:t>
      </w:r>
      <w:r w:rsidR="005C3758" w:rsidRPr="005C3758">
        <w:rPr>
          <w:rFonts w:ascii="Arial" w:hAnsi="Arial" w:cs="Arial"/>
          <w:sz w:val="22"/>
          <w:szCs w:val="22"/>
          <w:lang w:val="en-US"/>
        </w:rPr>
        <w:t xml:space="preserve">core </w:t>
      </w:r>
      <w:r w:rsidR="004329E3">
        <w:rPr>
          <w:rFonts w:ascii="Arial" w:hAnsi="Arial" w:cs="Arial"/>
          <w:sz w:val="22"/>
          <w:szCs w:val="22"/>
          <w:lang w:val="en-US"/>
        </w:rPr>
        <w:t xml:space="preserve">steel </w:t>
      </w:r>
      <w:r w:rsidR="005C3758" w:rsidRPr="005C3758">
        <w:rPr>
          <w:rFonts w:ascii="Arial" w:hAnsi="Arial" w:cs="Arial"/>
          <w:sz w:val="22"/>
          <w:szCs w:val="22"/>
          <w:lang w:val="en-US"/>
        </w:rPr>
        <w:t>business</w:t>
      </w:r>
      <w:r w:rsidRPr="005D3989">
        <w:rPr>
          <w:rFonts w:ascii="Arial" w:hAnsi="Arial" w:cs="Arial"/>
          <w:sz w:val="22"/>
          <w:szCs w:val="22"/>
          <w:lang w:val="en-US"/>
        </w:rPr>
        <w:t xml:space="preserve">. </w:t>
      </w:r>
      <w:r w:rsidR="0085129A" w:rsidRPr="0085129A">
        <w:rPr>
          <w:rFonts w:ascii="Arial" w:hAnsi="Arial" w:cs="Arial"/>
          <w:sz w:val="22"/>
          <w:szCs w:val="22"/>
          <w:lang w:val="en-US"/>
        </w:rPr>
        <w:t>GMH Gruppe is focusing on strategic growth areas such as the circular economy, green steel, and forged products.</w:t>
      </w:r>
      <w:r w:rsidR="00432635" w:rsidRPr="004329E3">
        <w:rPr>
          <w:lang w:val="en-US"/>
        </w:rPr>
        <w:t xml:space="preserve"> </w:t>
      </w:r>
      <w:r w:rsidR="00432635" w:rsidRPr="00432635">
        <w:rPr>
          <w:rFonts w:ascii="Arial" w:hAnsi="Arial" w:cs="Arial"/>
          <w:sz w:val="22"/>
          <w:szCs w:val="22"/>
          <w:lang w:val="en-US"/>
        </w:rPr>
        <w:t>GMH Gruppe SE &amp; Co KG is managed by GMH Gruppe Management SE, whose Executive Board co</w:t>
      </w:r>
      <w:r w:rsidR="004329E3">
        <w:rPr>
          <w:rFonts w:ascii="Arial" w:hAnsi="Arial" w:cs="Arial"/>
          <w:sz w:val="22"/>
          <w:szCs w:val="22"/>
          <w:lang w:val="en-US"/>
        </w:rPr>
        <w:t>mprises</w:t>
      </w:r>
      <w:r w:rsidR="00432635" w:rsidRPr="00432635">
        <w:rPr>
          <w:rFonts w:ascii="Arial" w:hAnsi="Arial" w:cs="Arial"/>
          <w:sz w:val="22"/>
          <w:szCs w:val="22"/>
          <w:lang w:val="en-US"/>
        </w:rPr>
        <w:t xml:space="preserve"> Dr. Alexander Becker (CEO), Mathias Hölscher (CFO), and Dr. Anne-Marie Großmann (CDO).</w:t>
      </w:r>
    </w:p>
    <w:p w14:paraId="33E191F4" w14:textId="77777777" w:rsidR="00F809F8" w:rsidRDefault="00F809F8" w:rsidP="00471E0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699EFDCD" w14:textId="6211C943" w:rsidR="00A61633" w:rsidRDefault="00A61633" w:rsidP="00471E0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  <w:r w:rsidRPr="00A61633">
        <w:rPr>
          <w:rFonts w:ascii="Arial" w:hAnsi="Arial" w:cs="Arial"/>
          <w:sz w:val="22"/>
          <w:szCs w:val="22"/>
          <w:lang w:val="en-US"/>
        </w:rPr>
        <w:t xml:space="preserve">GMH Gruppe remains a family-owned company, and its development is overseen by </w:t>
      </w:r>
      <w:r w:rsidR="004329E3">
        <w:rPr>
          <w:rFonts w:ascii="Arial" w:hAnsi="Arial" w:cs="Arial"/>
          <w:sz w:val="22"/>
          <w:szCs w:val="22"/>
          <w:lang w:val="en-US"/>
        </w:rPr>
        <w:t>the</w:t>
      </w:r>
      <w:r w:rsidRPr="00A61633">
        <w:rPr>
          <w:rFonts w:ascii="Arial" w:hAnsi="Arial" w:cs="Arial"/>
          <w:sz w:val="22"/>
          <w:szCs w:val="22"/>
          <w:lang w:val="en-US"/>
        </w:rPr>
        <w:t xml:space="preserve"> </w:t>
      </w:r>
      <w:r w:rsidR="004329E3">
        <w:rPr>
          <w:rFonts w:ascii="Arial" w:hAnsi="Arial" w:cs="Arial"/>
          <w:sz w:val="22"/>
          <w:szCs w:val="22"/>
          <w:lang w:val="en-US"/>
        </w:rPr>
        <w:t>S</w:t>
      </w:r>
      <w:r w:rsidRPr="00A61633">
        <w:rPr>
          <w:rFonts w:ascii="Arial" w:hAnsi="Arial" w:cs="Arial"/>
          <w:sz w:val="22"/>
          <w:szCs w:val="22"/>
          <w:lang w:val="en-US"/>
        </w:rPr>
        <w:t xml:space="preserve">upervisory </w:t>
      </w:r>
      <w:r w:rsidR="004329E3">
        <w:rPr>
          <w:rFonts w:ascii="Arial" w:hAnsi="Arial" w:cs="Arial"/>
          <w:sz w:val="22"/>
          <w:szCs w:val="22"/>
          <w:lang w:val="en-US"/>
        </w:rPr>
        <w:t>B</w:t>
      </w:r>
      <w:r w:rsidRPr="00A61633">
        <w:rPr>
          <w:rFonts w:ascii="Arial" w:hAnsi="Arial" w:cs="Arial"/>
          <w:sz w:val="22"/>
          <w:szCs w:val="22"/>
          <w:lang w:val="en-US"/>
        </w:rPr>
        <w:t xml:space="preserve">oard of GMH Gruppe Management SE, </w:t>
      </w:r>
      <w:r w:rsidR="004329E3">
        <w:rPr>
          <w:rFonts w:ascii="Arial" w:hAnsi="Arial" w:cs="Arial"/>
          <w:sz w:val="22"/>
          <w:szCs w:val="22"/>
          <w:lang w:val="en-US"/>
        </w:rPr>
        <w:t>composed</w:t>
      </w:r>
      <w:r w:rsidRPr="00A61633">
        <w:rPr>
          <w:rFonts w:ascii="Arial" w:hAnsi="Arial" w:cs="Arial"/>
          <w:sz w:val="22"/>
          <w:szCs w:val="22"/>
          <w:lang w:val="en-US"/>
        </w:rPr>
        <w:t xml:space="preserve"> of family members. In addition, the co-determined </w:t>
      </w:r>
      <w:r w:rsidR="004329E3">
        <w:rPr>
          <w:rFonts w:ascii="Arial" w:hAnsi="Arial" w:cs="Arial"/>
          <w:sz w:val="22"/>
          <w:szCs w:val="22"/>
          <w:lang w:val="en-US"/>
        </w:rPr>
        <w:t>S</w:t>
      </w:r>
      <w:r w:rsidRPr="00A61633">
        <w:rPr>
          <w:rFonts w:ascii="Arial" w:hAnsi="Arial" w:cs="Arial"/>
          <w:sz w:val="22"/>
          <w:szCs w:val="22"/>
          <w:lang w:val="en-US"/>
        </w:rPr>
        <w:t xml:space="preserve">upervisory </w:t>
      </w:r>
      <w:r w:rsidR="004329E3">
        <w:rPr>
          <w:rFonts w:ascii="Arial" w:hAnsi="Arial" w:cs="Arial"/>
          <w:sz w:val="22"/>
          <w:szCs w:val="22"/>
          <w:lang w:val="en-US"/>
        </w:rPr>
        <w:t>B</w:t>
      </w:r>
      <w:r w:rsidRPr="00A61633">
        <w:rPr>
          <w:rFonts w:ascii="Arial" w:hAnsi="Arial" w:cs="Arial"/>
          <w:sz w:val="22"/>
          <w:szCs w:val="22"/>
          <w:lang w:val="en-US"/>
        </w:rPr>
        <w:t>oard of GMH Gruppe SE &amp; Co KG, continues to be</w:t>
      </w:r>
      <w:r w:rsidR="004329E3">
        <w:rPr>
          <w:rFonts w:ascii="Arial" w:hAnsi="Arial" w:cs="Arial"/>
          <w:sz w:val="22"/>
          <w:szCs w:val="22"/>
          <w:lang w:val="en-US"/>
        </w:rPr>
        <w:t xml:space="preserve">nefit from </w:t>
      </w:r>
      <w:r w:rsidRPr="00A61633">
        <w:rPr>
          <w:rFonts w:ascii="Arial" w:hAnsi="Arial" w:cs="Arial"/>
          <w:sz w:val="22"/>
          <w:szCs w:val="22"/>
          <w:lang w:val="en-US"/>
        </w:rPr>
        <w:t>the expertise of non-family supervisory board members.</w:t>
      </w:r>
    </w:p>
    <w:p w14:paraId="65B71926" w14:textId="77777777" w:rsidR="00A61633" w:rsidRPr="005D3989" w:rsidRDefault="00A61633" w:rsidP="00471E0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1F829B94" w14:textId="685FBBC3" w:rsidR="00471E06" w:rsidRDefault="00471E06" w:rsidP="00471E06">
      <w:pPr>
        <w:pStyle w:val="Default"/>
        <w:jc w:val="both"/>
        <w:rPr>
          <w:rFonts w:ascii="Arial" w:hAnsi="Arial" w:cs="Arial"/>
          <w:i/>
          <w:iCs/>
          <w:sz w:val="22"/>
          <w:szCs w:val="22"/>
          <w:lang w:val="en-US"/>
        </w:rPr>
      </w:pPr>
      <w:r w:rsidRPr="005D3989">
        <w:rPr>
          <w:rFonts w:ascii="Arial" w:hAnsi="Arial" w:cs="Arial"/>
          <w:sz w:val="22"/>
          <w:szCs w:val="22"/>
          <w:lang w:val="en-US"/>
        </w:rPr>
        <w:t>Quirin Großmann</w:t>
      </w:r>
      <w:r w:rsidR="00704B55" w:rsidRPr="00704B55">
        <w:rPr>
          <w:rFonts w:ascii="Arial" w:hAnsi="Arial" w:cs="Arial"/>
          <w:sz w:val="22"/>
          <w:szCs w:val="22"/>
          <w:lang w:val="en-US"/>
        </w:rPr>
        <w:t xml:space="preserve"> </w:t>
      </w:r>
      <w:r w:rsidR="00704B55" w:rsidRPr="00785BE6">
        <w:rPr>
          <w:rFonts w:ascii="Arial" w:hAnsi="Arial" w:cs="Arial"/>
          <w:sz w:val="22"/>
          <w:szCs w:val="22"/>
          <w:lang w:val="en-US"/>
        </w:rPr>
        <w:t>Chairman of the Supervisory Board of GMH Gruppe Management SE</w:t>
      </w:r>
      <w:r w:rsidRPr="005D3989">
        <w:rPr>
          <w:rFonts w:ascii="Arial" w:hAnsi="Arial" w:cs="Arial"/>
          <w:sz w:val="22"/>
          <w:szCs w:val="22"/>
          <w:lang w:val="en-US"/>
        </w:rPr>
        <w:t xml:space="preserve">, </w:t>
      </w:r>
      <w:r w:rsidR="00526B67">
        <w:rPr>
          <w:rFonts w:ascii="Arial" w:hAnsi="Arial" w:cs="Arial"/>
          <w:sz w:val="22"/>
          <w:szCs w:val="22"/>
          <w:lang w:val="en-US"/>
        </w:rPr>
        <w:t>explains</w:t>
      </w:r>
      <w:r w:rsidRPr="005D3989">
        <w:rPr>
          <w:rFonts w:ascii="Arial" w:hAnsi="Arial" w:cs="Arial"/>
          <w:sz w:val="22"/>
          <w:szCs w:val="22"/>
          <w:lang w:val="en-US"/>
        </w:rPr>
        <w:t>:</w:t>
      </w:r>
      <w:r w:rsidR="005D3989">
        <w:rPr>
          <w:rFonts w:ascii="Arial" w:hAnsi="Arial" w:cs="Arial"/>
          <w:sz w:val="22"/>
          <w:szCs w:val="22"/>
          <w:lang w:val="en-US"/>
        </w:rPr>
        <w:t xml:space="preserve"> </w:t>
      </w:r>
      <w:r w:rsidRPr="005D3989">
        <w:rPr>
          <w:rFonts w:ascii="Arial" w:hAnsi="Arial" w:cs="Arial"/>
          <w:i/>
          <w:iCs/>
          <w:sz w:val="22"/>
          <w:szCs w:val="22"/>
          <w:lang w:val="en-US"/>
        </w:rPr>
        <w:t>“With this structure in place, GMH Gruppe is</w:t>
      </w:r>
      <w:r w:rsidR="00C00322">
        <w:rPr>
          <w:rFonts w:ascii="Arial" w:hAnsi="Arial" w:cs="Arial"/>
          <w:i/>
          <w:iCs/>
          <w:sz w:val="22"/>
          <w:szCs w:val="22"/>
          <w:lang w:val="en-US"/>
        </w:rPr>
        <w:t xml:space="preserve"> well prepared</w:t>
      </w:r>
      <w:r w:rsidRPr="005D3989">
        <w:rPr>
          <w:rFonts w:ascii="Arial" w:hAnsi="Arial" w:cs="Arial"/>
          <w:i/>
          <w:iCs/>
          <w:sz w:val="22"/>
          <w:szCs w:val="22"/>
          <w:lang w:val="en-US"/>
        </w:rPr>
        <w:t xml:space="preserve"> for the future. It gives us the strength to invest boldly, e</w:t>
      </w:r>
      <w:r w:rsidR="00C00322">
        <w:rPr>
          <w:rFonts w:ascii="Arial" w:hAnsi="Arial" w:cs="Arial"/>
          <w:i/>
          <w:iCs/>
          <w:sz w:val="22"/>
          <w:szCs w:val="22"/>
          <w:lang w:val="en-US"/>
        </w:rPr>
        <w:t>nhance</w:t>
      </w:r>
      <w:r w:rsidRPr="005D3989">
        <w:rPr>
          <w:rFonts w:ascii="Arial" w:hAnsi="Arial" w:cs="Arial"/>
          <w:i/>
          <w:iCs/>
          <w:sz w:val="22"/>
          <w:szCs w:val="22"/>
          <w:lang w:val="en-US"/>
        </w:rPr>
        <w:t xml:space="preserve"> our competitiveness, and create opportunities that will </w:t>
      </w:r>
      <w:r w:rsidR="00C00322">
        <w:rPr>
          <w:rFonts w:ascii="Arial" w:hAnsi="Arial" w:cs="Arial"/>
          <w:i/>
          <w:iCs/>
          <w:sz w:val="22"/>
          <w:szCs w:val="22"/>
          <w:lang w:val="en-US"/>
        </w:rPr>
        <w:t>endure</w:t>
      </w:r>
      <w:r w:rsidRPr="005D3989">
        <w:rPr>
          <w:rFonts w:ascii="Arial" w:hAnsi="Arial" w:cs="Arial"/>
          <w:i/>
          <w:iCs/>
          <w:sz w:val="22"/>
          <w:szCs w:val="22"/>
          <w:lang w:val="en-US"/>
        </w:rPr>
        <w:t xml:space="preserve"> for generations.”</w:t>
      </w:r>
    </w:p>
    <w:p w14:paraId="0A0FE974" w14:textId="77777777" w:rsidR="00E206AC" w:rsidRDefault="00E206AC" w:rsidP="00471E06">
      <w:pPr>
        <w:pStyle w:val="Default"/>
        <w:jc w:val="both"/>
        <w:rPr>
          <w:rFonts w:ascii="Arial" w:hAnsi="Arial" w:cs="Arial"/>
          <w:i/>
          <w:iCs/>
          <w:sz w:val="22"/>
          <w:szCs w:val="22"/>
          <w:lang w:val="en-US"/>
        </w:rPr>
      </w:pPr>
    </w:p>
    <w:p w14:paraId="14B262B4" w14:textId="77777777" w:rsidR="00E206AC" w:rsidRPr="00E206AC" w:rsidRDefault="00E206AC" w:rsidP="00E206AC">
      <w:pPr>
        <w:pStyle w:val="Default"/>
        <w:jc w:val="both"/>
        <w:rPr>
          <w:rFonts w:ascii="Arial" w:hAnsi="Arial" w:cs="Arial"/>
          <w:i/>
          <w:iCs/>
          <w:sz w:val="22"/>
          <w:szCs w:val="22"/>
          <w:lang w:val="en-US"/>
        </w:rPr>
      </w:pPr>
      <w:r w:rsidRPr="00E206AC">
        <w:rPr>
          <w:rFonts w:ascii="Arial" w:hAnsi="Arial" w:cs="Arial"/>
          <w:i/>
          <w:iCs/>
          <w:sz w:val="22"/>
          <w:szCs w:val="22"/>
          <w:lang w:val="en-US"/>
        </w:rPr>
        <w:t xml:space="preserve">Dr. Leo Birnbaum, Chairman of the Supervisory Board of GMH Gruppe SE &amp; Co KG: </w:t>
      </w:r>
    </w:p>
    <w:p w14:paraId="321A39A2" w14:textId="43C37D00" w:rsidR="00E206AC" w:rsidRDefault="00E206AC" w:rsidP="00E206AC">
      <w:pPr>
        <w:pStyle w:val="Default"/>
        <w:jc w:val="both"/>
        <w:rPr>
          <w:rFonts w:ascii="Arial" w:hAnsi="Arial" w:cs="Arial"/>
          <w:i/>
          <w:iCs/>
          <w:sz w:val="22"/>
          <w:szCs w:val="22"/>
          <w:lang w:val="en-US"/>
        </w:rPr>
      </w:pPr>
      <w:r w:rsidRPr="00E206AC">
        <w:rPr>
          <w:rFonts w:ascii="Arial" w:hAnsi="Arial" w:cs="Arial"/>
          <w:i/>
          <w:iCs/>
          <w:sz w:val="22"/>
          <w:szCs w:val="22"/>
          <w:lang w:val="en-US"/>
        </w:rPr>
        <w:t xml:space="preserve">“It is </w:t>
      </w:r>
      <w:r w:rsidR="00C00322">
        <w:rPr>
          <w:rFonts w:ascii="Arial" w:hAnsi="Arial" w:cs="Arial"/>
          <w:i/>
          <w:iCs/>
          <w:sz w:val="22"/>
          <w:szCs w:val="22"/>
          <w:lang w:val="en-US"/>
        </w:rPr>
        <w:t>a</w:t>
      </w:r>
      <w:r w:rsidRPr="00E206AC">
        <w:rPr>
          <w:rFonts w:ascii="Arial" w:hAnsi="Arial" w:cs="Arial"/>
          <w:i/>
          <w:iCs/>
          <w:sz w:val="22"/>
          <w:szCs w:val="22"/>
          <w:lang w:val="en-US"/>
        </w:rPr>
        <w:t xml:space="preserve"> pleasure to accompany the GMH Gruppe together with </w:t>
      </w:r>
      <w:r w:rsidR="00C00322">
        <w:rPr>
          <w:rFonts w:ascii="Arial" w:hAnsi="Arial" w:cs="Arial"/>
          <w:i/>
          <w:iCs/>
          <w:sz w:val="22"/>
          <w:szCs w:val="22"/>
          <w:lang w:val="en-US"/>
        </w:rPr>
        <w:t>a team of</w:t>
      </w:r>
      <w:r w:rsidRPr="00E206AC">
        <w:rPr>
          <w:rFonts w:ascii="Arial" w:hAnsi="Arial" w:cs="Arial"/>
          <w:i/>
          <w:iCs/>
          <w:sz w:val="22"/>
          <w:szCs w:val="22"/>
          <w:lang w:val="en-US"/>
        </w:rPr>
        <w:t xml:space="preserve"> experienced industry experts and employee representatives</w:t>
      </w:r>
      <w:r w:rsidR="00C00322">
        <w:rPr>
          <w:rFonts w:ascii="Arial" w:hAnsi="Arial" w:cs="Arial"/>
          <w:i/>
          <w:iCs/>
          <w:sz w:val="22"/>
          <w:szCs w:val="22"/>
          <w:lang w:val="en-US"/>
        </w:rPr>
        <w:t>,</w:t>
      </w:r>
      <w:r w:rsidRPr="00E206AC">
        <w:rPr>
          <w:rFonts w:ascii="Arial" w:hAnsi="Arial" w:cs="Arial"/>
          <w:i/>
          <w:iCs/>
          <w:sz w:val="22"/>
          <w:szCs w:val="22"/>
          <w:lang w:val="en-US"/>
        </w:rPr>
        <w:t xml:space="preserve"> and to advise the Group and the Großmann family on  upcoming strategic decisions in </w:t>
      </w:r>
      <w:r w:rsidR="00C00322">
        <w:rPr>
          <w:rFonts w:ascii="Arial" w:hAnsi="Arial" w:cs="Arial"/>
          <w:i/>
          <w:iCs/>
          <w:sz w:val="22"/>
          <w:szCs w:val="22"/>
          <w:lang w:val="en-US"/>
        </w:rPr>
        <w:t xml:space="preserve">an increasingly </w:t>
      </w:r>
      <w:r w:rsidRPr="00E206AC">
        <w:rPr>
          <w:rFonts w:ascii="Arial" w:hAnsi="Arial" w:cs="Arial"/>
          <w:i/>
          <w:iCs/>
          <w:sz w:val="22"/>
          <w:szCs w:val="22"/>
          <w:lang w:val="en-US"/>
        </w:rPr>
        <w:t>challenging market</w:t>
      </w:r>
      <w:r w:rsidR="00C00322">
        <w:rPr>
          <w:rFonts w:ascii="Arial" w:hAnsi="Arial" w:cs="Arial"/>
          <w:i/>
          <w:iCs/>
          <w:sz w:val="22"/>
          <w:szCs w:val="22"/>
          <w:lang w:val="en-US"/>
        </w:rPr>
        <w:t xml:space="preserve"> environment</w:t>
      </w:r>
      <w:r w:rsidRPr="00E206AC">
        <w:rPr>
          <w:rFonts w:ascii="Arial" w:hAnsi="Arial" w:cs="Arial"/>
          <w:i/>
          <w:iCs/>
          <w:sz w:val="22"/>
          <w:szCs w:val="22"/>
          <w:lang w:val="en-US"/>
        </w:rPr>
        <w:t>.”</w:t>
      </w:r>
    </w:p>
    <w:p w14:paraId="52185006" w14:textId="77777777" w:rsidR="005D3989" w:rsidRDefault="005D3989" w:rsidP="00471E06">
      <w:pPr>
        <w:pStyle w:val="Default"/>
        <w:jc w:val="both"/>
        <w:rPr>
          <w:rFonts w:ascii="Arial" w:hAnsi="Arial" w:cs="Arial"/>
          <w:sz w:val="22"/>
          <w:szCs w:val="22"/>
          <w:lang w:val="en-US"/>
        </w:rPr>
      </w:pPr>
    </w:p>
    <w:p w14:paraId="4C41FBA1" w14:textId="77777777" w:rsidR="008F3AEE" w:rsidRPr="005D3989" w:rsidRDefault="008F3AEE" w:rsidP="008F3AEE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2"/>
          <w:szCs w:val="22"/>
          <w:lang w:val="en-US"/>
        </w:rPr>
      </w:pPr>
    </w:p>
    <w:p w14:paraId="4D0A1E63" w14:textId="77777777" w:rsidR="000077E1" w:rsidRDefault="000077E1" w:rsidP="003F1C4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654F0866" w14:textId="77777777" w:rsidR="000077E1" w:rsidRDefault="000077E1" w:rsidP="003F1C4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0EC98A46" w14:textId="183C888B" w:rsidR="003F1C46" w:rsidRPr="00992176" w:rsidRDefault="003F1C46" w:rsidP="003F1C46">
      <w:pPr>
        <w:pStyle w:val="Default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992176">
        <w:rPr>
          <w:rFonts w:ascii="Arial" w:hAnsi="Arial" w:cs="Arial"/>
          <w:b/>
          <w:bCs/>
          <w:sz w:val="20"/>
          <w:szCs w:val="20"/>
          <w:lang w:val="en-US"/>
        </w:rPr>
        <w:t>About GMH Gruppe</w:t>
      </w:r>
    </w:p>
    <w:p w14:paraId="5D923363" w14:textId="77777777" w:rsidR="00AC26BC" w:rsidRPr="00992176" w:rsidRDefault="00AC26BC" w:rsidP="00AC26BC">
      <w:pPr>
        <w:spacing w:line="240" w:lineRule="auto"/>
        <w:jc w:val="both"/>
        <w:rPr>
          <w:rFonts w:ascii="Arial" w:hAnsi="Arial" w:cs="Arial"/>
          <w:sz w:val="20"/>
          <w:szCs w:val="20"/>
          <w:lang w:val="en-US"/>
        </w:rPr>
      </w:pPr>
      <w:bookmarkStart w:id="0" w:name="_Hlk206763203"/>
      <w:r w:rsidRPr="00992176">
        <w:rPr>
          <w:rFonts w:ascii="Arial" w:hAnsi="Arial" w:cs="Arial"/>
          <w:sz w:val="20"/>
          <w:szCs w:val="20"/>
          <w:lang w:val="en-US"/>
        </w:rPr>
        <w:t>GMH Gruppe is a full-service provider of steel products, ranging from scrap-based steelmaking to ready-to-install components. It is one of Europe’s largest privately owned metal-processing companies. The group comprises more than 20 medium-sized sites of the steel, forging and casting industries, serving customers in over 50 countries. With around 6,000 employees, GMH Gruppe generates annual revenues of approximately 2 billion euros.</w:t>
      </w:r>
    </w:p>
    <w:p w14:paraId="4CCA3335" w14:textId="77777777" w:rsidR="00AC26BC" w:rsidRPr="00992176" w:rsidRDefault="00AC26BC" w:rsidP="00AC26BC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</w:pPr>
      <w:r w:rsidRPr="00992176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>GMH Gruppe is a pioneer in sustainable steel production and a member of the ‘German Association of Climate Protection Companies’. By recycling metal scrap, the company produces green steel and contributes to a circular economy. Electric arc furnaces at four sites reduce CO</w:t>
      </w:r>
      <w:r w:rsidRPr="00992176">
        <w:rPr>
          <w:rStyle w:val="Fett"/>
          <w:rFonts w:ascii="Arial" w:hAnsi="Arial" w:cs="Arial"/>
          <w:b w:val="0"/>
          <w:bCs w:val="0"/>
          <w:sz w:val="20"/>
          <w:szCs w:val="20"/>
          <w:vertAlign w:val="subscript"/>
          <w:lang w:val="en-US"/>
        </w:rPr>
        <w:t>2</w:t>
      </w:r>
      <w:r w:rsidRPr="00992176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 emissions by a factor of five compared to conventional blast furnaces – thus </w:t>
      </w:r>
      <w:r w:rsidRPr="00992176">
        <w:rPr>
          <w:rFonts w:ascii="Arial" w:hAnsi="Arial" w:cs="Arial"/>
          <w:sz w:val="20"/>
          <w:szCs w:val="20"/>
          <w:lang w:val="en-US"/>
        </w:rPr>
        <w:t xml:space="preserve">significantly lowering the carbon footprint for GMH customers worldwide. </w:t>
      </w:r>
      <w:r w:rsidRPr="00992176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These include companies from the automotive, mechanical engineering, railway, energy, logistics, aerospace, agriculture and construction machinery sectors. </w:t>
      </w:r>
    </w:p>
    <w:p w14:paraId="220DA00B" w14:textId="77777777" w:rsidR="0047783D" w:rsidRDefault="00AC26BC" w:rsidP="00AC26BC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</w:pPr>
      <w:r w:rsidRPr="00992176"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  <w:t xml:space="preserve">GMH Gruppe is committed to achieving full climate-neutrality by 2039. </w:t>
      </w:r>
    </w:p>
    <w:p w14:paraId="041B54B8" w14:textId="540CC447" w:rsidR="00AC26BC" w:rsidRPr="00992176" w:rsidRDefault="0047783D" w:rsidP="00AC26BC">
      <w:pPr>
        <w:pStyle w:val="Default"/>
        <w:jc w:val="both"/>
        <w:rPr>
          <w:rStyle w:val="Hyperlink"/>
          <w:rFonts w:ascii="Arial" w:hAnsi="Arial" w:cs="Arial"/>
          <w:b/>
          <w:bCs/>
          <w:sz w:val="20"/>
          <w:szCs w:val="20"/>
          <w:lang w:val="en-US"/>
        </w:rPr>
      </w:pPr>
      <w:hyperlink r:id="rId10" w:history="1">
        <w:r w:rsidRPr="00C24A73">
          <w:rPr>
            <w:rStyle w:val="Hyperlink"/>
            <w:rFonts w:ascii="Arial" w:hAnsi="Arial" w:cs="Arial"/>
            <w:sz w:val="20"/>
            <w:szCs w:val="20"/>
            <w:lang w:val="en-US"/>
          </w:rPr>
          <w:t>www.gmh-gruppe.de/en/</w:t>
        </w:r>
      </w:hyperlink>
      <w:r w:rsidR="00AC26BC" w:rsidRPr="0047783D">
        <w:rPr>
          <w:rFonts w:ascii="Arial" w:hAnsi="Arial" w:cs="Arial"/>
          <w:sz w:val="20"/>
          <w:szCs w:val="20"/>
          <w:lang w:val="en-US"/>
        </w:rPr>
        <w:t>.</w:t>
      </w:r>
    </w:p>
    <w:bookmarkEnd w:id="0"/>
    <w:p w14:paraId="5E01D7DC" w14:textId="77777777" w:rsidR="000D68E0" w:rsidRPr="00992176" w:rsidRDefault="000D68E0" w:rsidP="002B15F8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</w:pPr>
    </w:p>
    <w:p w14:paraId="0B6DF0ED" w14:textId="77777777" w:rsidR="00AC26BC" w:rsidRPr="00992176" w:rsidRDefault="00AC26BC" w:rsidP="002B15F8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  <w:lang w:val="en-US"/>
        </w:rPr>
      </w:pPr>
    </w:p>
    <w:p w14:paraId="31BF8181" w14:textId="77777777" w:rsidR="002D6B10" w:rsidRPr="00992176" w:rsidRDefault="002D6B10" w:rsidP="002B15F8">
      <w:pPr>
        <w:pStyle w:val="Default"/>
        <w:jc w:val="both"/>
        <w:rPr>
          <w:rStyle w:val="Fett"/>
          <w:rFonts w:ascii="Arial" w:hAnsi="Arial" w:cs="Arial"/>
          <w:sz w:val="20"/>
          <w:szCs w:val="20"/>
          <w:lang w:val="en-US"/>
        </w:rPr>
        <w:sectPr w:rsidR="002D6B10" w:rsidRPr="00992176" w:rsidSect="0025064F">
          <w:headerReference w:type="default" r:id="rId11"/>
          <w:type w:val="continuous"/>
          <w:pgSz w:w="11906" w:h="16838"/>
          <w:pgMar w:top="2693" w:right="1418" w:bottom="426" w:left="1418" w:header="709" w:footer="709" w:gutter="0"/>
          <w:cols w:space="708"/>
          <w:docGrid w:linePitch="360"/>
        </w:sectPr>
      </w:pPr>
    </w:p>
    <w:p w14:paraId="01398EA5" w14:textId="77777777" w:rsidR="00167EA4" w:rsidRDefault="00167EA4" w:rsidP="009D399E">
      <w:pPr>
        <w:spacing w:line="240" w:lineRule="auto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val="en-US" w:eastAsia="en-US"/>
        </w:rPr>
      </w:pPr>
    </w:p>
    <w:p w14:paraId="7D6BA4BB" w14:textId="77777777" w:rsidR="000077E1" w:rsidRDefault="000077E1" w:rsidP="009D399E">
      <w:pPr>
        <w:spacing w:line="240" w:lineRule="auto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val="en-US" w:eastAsia="en-US"/>
        </w:rPr>
      </w:pPr>
    </w:p>
    <w:p w14:paraId="53106F89" w14:textId="6B6E4AD4" w:rsidR="009D399E" w:rsidRPr="00992176" w:rsidRDefault="009D399E" w:rsidP="009D399E">
      <w:pPr>
        <w:spacing w:line="240" w:lineRule="auto"/>
        <w:jc w:val="both"/>
        <w:rPr>
          <w:rFonts w:ascii="Arial" w:eastAsiaTheme="minorHAnsi" w:hAnsi="Arial" w:cs="Arial"/>
          <w:b/>
          <w:bCs/>
          <w:color w:val="000000"/>
          <w:sz w:val="20"/>
          <w:szCs w:val="20"/>
          <w:lang w:val="en-US" w:eastAsia="en-US"/>
        </w:rPr>
      </w:pPr>
      <w:r w:rsidRPr="00992176">
        <w:rPr>
          <w:rFonts w:ascii="Arial" w:eastAsiaTheme="minorHAnsi" w:hAnsi="Arial" w:cs="Arial"/>
          <w:b/>
          <w:bCs/>
          <w:color w:val="000000"/>
          <w:sz w:val="20"/>
          <w:szCs w:val="20"/>
          <w:lang w:val="en-US" w:eastAsia="en-US"/>
        </w:rPr>
        <w:lastRenderedPageBreak/>
        <w:t>For editorial inquiries:</w:t>
      </w:r>
    </w:p>
    <w:p w14:paraId="25E13BDD" w14:textId="77777777" w:rsidR="00EF11F3" w:rsidRPr="00992176" w:rsidRDefault="00EF11F3" w:rsidP="00507B6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</w:p>
    <w:p w14:paraId="61825E57" w14:textId="77777777" w:rsidR="000205BD" w:rsidRPr="00992176" w:rsidRDefault="000205BD" w:rsidP="00507B6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  <w:lang w:val="en-US"/>
        </w:rPr>
        <w:sectPr w:rsidR="000205BD" w:rsidRPr="00992176" w:rsidSect="002D6B10">
          <w:type w:val="continuous"/>
          <w:pgSz w:w="11906" w:h="16838"/>
          <w:pgMar w:top="2694" w:right="1417" w:bottom="0" w:left="1417" w:header="708" w:footer="708" w:gutter="0"/>
          <w:cols w:space="708"/>
          <w:docGrid w:linePitch="360"/>
        </w:sectPr>
      </w:pPr>
    </w:p>
    <w:p w14:paraId="7A569545" w14:textId="794EF52D" w:rsidR="00507B65" w:rsidRPr="00992176" w:rsidRDefault="00062B96" w:rsidP="00507B6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992176">
        <w:rPr>
          <w:rFonts w:ascii="Arial" w:hAnsi="Arial" w:cs="Arial"/>
          <w:b/>
          <w:bCs/>
          <w:sz w:val="20"/>
          <w:szCs w:val="20"/>
          <w:lang w:val="en-US"/>
        </w:rPr>
        <w:t>GMH Gruppe</w:t>
      </w:r>
    </w:p>
    <w:p w14:paraId="3ADD1382" w14:textId="77777777" w:rsidR="00062B96" w:rsidRPr="00992176" w:rsidRDefault="00062B96" w:rsidP="00062B96">
      <w:pPr>
        <w:spacing w:line="240" w:lineRule="auto"/>
        <w:rPr>
          <w:rStyle w:val="Hyperlink"/>
          <w:rFonts w:ascii="Arial" w:hAnsi="Arial" w:cs="Arial"/>
          <w:sz w:val="20"/>
          <w:szCs w:val="20"/>
          <w:lang w:val="en-US"/>
        </w:rPr>
      </w:pPr>
      <w:r w:rsidRPr="00992176">
        <w:rPr>
          <w:rStyle w:val="Fett"/>
          <w:rFonts w:ascii="Arial" w:hAnsi="Arial" w:cs="Arial"/>
          <w:color w:val="000000"/>
          <w:sz w:val="20"/>
          <w:szCs w:val="20"/>
          <w:lang w:val="en-US"/>
        </w:rPr>
        <w:t xml:space="preserve">Luciana </w:t>
      </w:r>
      <w:r w:rsidRPr="00992176">
        <w:rPr>
          <w:rFonts w:ascii="Arial" w:hAnsi="Arial" w:cs="Arial"/>
          <w:color w:val="000000"/>
          <w:sz w:val="20"/>
          <w:szCs w:val="20"/>
          <w:lang w:val="en-US"/>
        </w:rPr>
        <w:t>Filizzola, Director Sustainability and Communications</w:t>
      </w:r>
      <w:r w:rsidRPr="00992176">
        <w:rPr>
          <w:rStyle w:val="Fett"/>
          <w:rFonts w:ascii="Arial" w:hAnsi="Arial" w:cs="Arial"/>
          <w:b w:val="0"/>
          <w:color w:val="000000"/>
          <w:sz w:val="20"/>
          <w:szCs w:val="20"/>
          <w:lang w:val="en-US"/>
        </w:rPr>
        <w:t xml:space="preserve">, </w:t>
      </w:r>
      <w:r w:rsidRPr="00992176">
        <w:rPr>
          <w:rFonts w:ascii="Arial" w:hAnsi="Arial" w:cs="Arial"/>
          <w:sz w:val="20"/>
          <w:szCs w:val="20"/>
          <w:lang w:val="en-US"/>
        </w:rPr>
        <w:t xml:space="preserve">+49 160 95222954, </w:t>
      </w:r>
      <w:hyperlink r:id="rId12" w:history="1">
        <w:r w:rsidRPr="00992176">
          <w:rPr>
            <w:rStyle w:val="Hyperlink"/>
            <w:rFonts w:ascii="Arial" w:hAnsi="Arial" w:cs="Arial"/>
            <w:sz w:val="20"/>
            <w:szCs w:val="20"/>
            <w:lang w:val="en-US"/>
          </w:rPr>
          <w:t>Luciana.Filizzola@gmh-gruppe.de</w:t>
        </w:r>
      </w:hyperlink>
    </w:p>
    <w:p w14:paraId="0A3C4423" w14:textId="77777777" w:rsidR="000D68E0" w:rsidRDefault="000D68E0" w:rsidP="00507B65">
      <w:pPr>
        <w:spacing w:line="240" w:lineRule="auto"/>
        <w:rPr>
          <w:rStyle w:val="Hyperlink"/>
          <w:rFonts w:ascii="Arial" w:hAnsi="Arial" w:cs="Arial"/>
          <w:color w:val="auto"/>
          <w:sz w:val="20"/>
          <w:szCs w:val="20"/>
          <w:u w:val="none"/>
          <w:lang w:val="en-US"/>
        </w:rPr>
      </w:pPr>
    </w:p>
    <w:p w14:paraId="72D7564E" w14:textId="77777777" w:rsidR="00D77189" w:rsidRPr="00996A35" w:rsidRDefault="00D77189" w:rsidP="00D77189">
      <w:p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en-GB"/>
        </w:rPr>
      </w:pPr>
      <w:r w:rsidRPr="00996A35">
        <w:rPr>
          <w:rFonts w:ascii="Arial" w:hAnsi="Arial" w:cs="Arial"/>
          <w:b/>
          <w:color w:val="000000"/>
          <w:sz w:val="20"/>
          <w:szCs w:val="20"/>
          <w:lang w:val="en-GB"/>
        </w:rPr>
        <w:t>bmb-consult – PR-Agency for GMH Gruppe</w:t>
      </w:r>
    </w:p>
    <w:p w14:paraId="4A16D6A3" w14:textId="697CE46A" w:rsidR="00D77189" w:rsidRPr="00704B55" w:rsidRDefault="00D77189" w:rsidP="00D77189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704B55">
        <w:rPr>
          <w:rFonts w:ascii="Arial" w:hAnsi="Arial" w:cs="Arial"/>
          <w:b/>
          <w:color w:val="000000"/>
          <w:sz w:val="20"/>
          <w:szCs w:val="20"/>
        </w:rPr>
        <w:t>Dagmar Klein,</w:t>
      </w:r>
      <w:r w:rsidRPr="00704B55">
        <w:rPr>
          <w:rFonts w:ascii="Arial" w:hAnsi="Arial" w:cs="Arial"/>
          <w:color w:val="000000"/>
          <w:sz w:val="20"/>
          <w:szCs w:val="20"/>
        </w:rPr>
        <w:t xml:space="preserve"> Managing Director, </w:t>
      </w:r>
      <w:r w:rsidRPr="00D77189">
        <w:rPr>
          <w:rFonts w:ascii="Arial" w:hAnsi="Arial" w:cs="Arial"/>
          <w:color w:val="000000"/>
          <w:sz w:val="20"/>
          <w:szCs w:val="20"/>
          <w:lang w:val="it-IT"/>
        </w:rPr>
        <w:t>+49</w:t>
      </w:r>
      <w:r w:rsidRPr="00704B55">
        <w:rPr>
          <w:rFonts w:ascii="Arial" w:hAnsi="Arial" w:cs="Arial"/>
          <w:sz w:val="20"/>
          <w:szCs w:val="20"/>
        </w:rPr>
        <w:t xml:space="preserve"> </w:t>
      </w:r>
      <w:r w:rsidRPr="00D77189">
        <w:rPr>
          <w:rFonts w:ascii="Arial" w:hAnsi="Arial" w:cs="Arial"/>
          <w:color w:val="000000"/>
          <w:sz w:val="20"/>
          <w:szCs w:val="20"/>
          <w:lang w:val="it-IT"/>
        </w:rPr>
        <w:t>1728532208</w:t>
      </w:r>
    </w:p>
    <w:p w14:paraId="604F3EC2" w14:textId="7753A0FA" w:rsidR="002B15F8" w:rsidRPr="00704B55" w:rsidRDefault="00D77189" w:rsidP="00507B65">
      <w:pPr>
        <w:spacing w:line="240" w:lineRule="auto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  <w:hyperlink r:id="rId13" w:history="1">
        <w:r w:rsidRPr="00704B55">
          <w:rPr>
            <w:rStyle w:val="Hyperlink"/>
            <w:rFonts w:ascii="Arial" w:hAnsi="Arial" w:cs="Arial"/>
            <w:sz w:val="20"/>
            <w:szCs w:val="20"/>
          </w:rPr>
          <w:t>d.klein@bmb-consult.com</w:t>
        </w:r>
      </w:hyperlink>
    </w:p>
    <w:sectPr w:rsidR="002B15F8" w:rsidRPr="00704B55" w:rsidSect="002D6B10">
      <w:type w:val="continuous"/>
      <w:pgSz w:w="11906" w:h="16838"/>
      <w:pgMar w:top="2694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860947" w14:textId="77777777" w:rsidR="00D0120C" w:rsidRDefault="00D0120C" w:rsidP="001D118D">
      <w:pPr>
        <w:spacing w:line="240" w:lineRule="auto"/>
      </w:pPr>
      <w:r>
        <w:separator/>
      </w:r>
    </w:p>
  </w:endnote>
  <w:endnote w:type="continuationSeparator" w:id="0">
    <w:p w14:paraId="478844C2" w14:textId="77777777" w:rsidR="00D0120C" w:rsidRDefault="00D0120C" w:rsidP="001D11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yItcTBoo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lanOT-Book">
    <w:altName w:val="Calibri"/>
    <w:panose1 w:val="020B0604020101020102"/>
    <w:charset w:val="00"/>
    <w:family w:val="swiss"/>
    <w:notTrueType/>
    <w:pitch w:val="variable"/>
    <w:sig w:usb0="800000AF" w:usb1="4000205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5FD34F" w14:textId="77777777" w:rsidR="00D0120C" w:rsidRDefault="00D0120C" w:rsidP="001D118D">
      <w:pPr>
        <w:spacing w:line="240" w:lineRule="auto"/>
      </w:pPr>
      <w:r>
        <w:separator/>
      </w:r>
    </w:p>
  </w:footnote>
  <w:footnote w:type="continuationSeparator" w:id="0">
    <w:p w14:paraId="0A7A7D27" w14:textId="77777777" w:rsidR="00D0120C" w:rsidRDefault="00D0120C" w:rsidP="001D11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AD387" w14:textId="0F0F750A" w:rsidR="002B15F8" w:rsidRDefault="002B15F8" w:rsidP="00204945">
    <w:pPr>
      <w:pStyle w:val="Kopfzeile"/>
      <w:ind w:firstLine="4248"/>
    </w:pPr>
    <w:r>
      <w:rPr>
        <w:noProof/>
      </w:rPr>
      <w:drawing>
        <wp:anchor distT="0" distB="0" distL="114300" distR="114300" simplePos="0" relativeHeight="251659264" behindDoc="1" locked="0" layoutInCell="1" allowOverlap="1" wp14:anchorId="66841B54" wp14:editId="369B28F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51585" cy="778510"/>
          <wp:effectExtent l="0" t="0" r="0" b="0"/>
          <wp:wrapNone/>
          <wp:docPr id="1867369152" name="Grafik 1867369152" descr="Ein Bild, das Text, Schrift, Screensho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, Schrift, Screenshot, Grafik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1585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945">
      <w:rPr>
        <w:noProof/>
      </w:rPr>
      <w:drawing>
        <wp:inline distT="0" distB="0" distL="0" distR="0" wp14:anchorId="645E99F5" wp14:editId="57C08086">
          <wp:extent cx="3194685" cy="780415"/>
          <wp:effectExtent l="0" t="0" r="5715" b="635"/>
          <wp:docPr id="124663040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A3267"/>
    <w:multiLevelType w:val="hybridMultilevel"/>
    <w:tmpl w:val="C844856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492902"/>
    <w:multiLevelType w:val="multilevel"/>
    <w:tmpl w:val="B77821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88B4015"/>
    <w:multiLevelType w:val="hybridMultilevel"/>
    <w:tmpl w:val="5796791A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61997769">
    <w:abstractNumId w:val="0"/>
  </w:num>
  <w:num w:numId="2" w16cid:durableId="1625841286">
    <w:abstractNumId w:val="2"/>
  </w:num>
  <w:num w:numId="3" w16cid:durableId="7196746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1EA"/>
    <w:rsid w:val="00000367"/>
    <w:rsid w:val="000077E1"/>
    <w:rsid w:val="000112F1"/>
    <w:rsid w:val="000119A0"/>
    <w:rsid w:val="00013C46"/>
    <w:rsid w:val="000205BD"/>
    <w:rsid w:val="00022CE8"/>
    <w:rsid w:val="0003146D"/>
    <w:rsid w:val="00040176"/>
    <w:rsid w:val="00043813"/>
    <w:rsid w:val="00045D6B"/>
    <w:rsid w:val="00055296"/>
    <w:rsid w:val="00061F91"/>
    <w:rsid w:val="00062B96"/>
    <w:rsid w:val="00077D8B"/>
    <w:rsid w:val="00080421"/>
    <w:rsid w:val="00084E82"/>
    <w:rsid w:val="00084E94"/>
    <w:rsid w:val="000966DB"/>
    <w:rsid w:val="000B458F"/>
    <w:rsid w:val="000C0141"/>
    <w:rsid w:val="000C3327"/>
    <w:rsid w:val="000D0535"/>
    <w:rsid w:val="000D1910"/>
    <w:rsid w:val="000D68E0"/>
    <w:rsid w:val="000D6F5C"/>
    <w:rsid w:val="000E19A4"/>
    <w:rsid w:val="000E25BF"/>
    <w:rsid w:val="000E4E2D"/>
    <w:rsid w:val="000E5E2F"/>
    <w:rsid w:val="000F66A6"/>
    <w:rsid w:val="00110EEB"/>
    <w:rsid w:val="00113EF2"/>
    <w:rsid w:val="00115E86"/>
    <w:rsid w:val="001211B4"/>
    <w:rsid w:val="00123F82"/>
    <w:rsid w:val="00125197"/>
    <w:rsid w:val="00125DAB"/>
    <w:rsid w:val="00126858"/>
    <w:rsid w:val="001315B6"/>
    <w:rsid w:val="00153EC5"/>
    <w:rsid w:val="00153F79"/>
    <w:rsid w:val="0015515F"/>
    <w:rsid w:val="0015553B"/>
    <w:rsid w:val="00161A9A"/>
    <w:rsid w:val="00164CD9"/>
    <w:rsid w:val="00167EA4"/>
    <w:rsid w:val="00170FFF"/>
    <w:rsid w:val="00171DD5"/>
    <w:rsid w:val="00173A38"/>
    <w:rsid w:val="00185111"/>
    <w:rsid w:val="0018659D"/>
    <w:rsid w:val="00192083"/>
    <w:rsid w:val="00192EDA"/>
    <w:rsid w:val="00195960"/>
    <w:rsid w:val="001A06A7"/>
    <w:rsid w:val="001A3404"/>
    <w:rsid w:val="001B24CF"/>
    <w:rsid w:val="001C3027"/>
    <w:rsid w:val="001D118D"/>
    <w:rsid w:val="001D2FF4"/>
    <w:rsid w:val="001E0CFE"/>
    <w:rsid w:val="001E5451"/>
    <w:rsid w:val="001F2F5F"/>
    <w:rsid w:val="001F7ADB"/>
    <w:rsid w:val="00204945"/>
    <w:rsid w:val="002049F8"/>
    <w:rsid w:val="00206948"/>
    <w:rsid w:val="00207208"/>
    <w:rsid w:val="0020789C"/>
    <w:rsid w:val="002109D9"/>
    <w:rsid w:val="00211E3A"/>
    <w:rsid w:val="00214B1F"/>
    <w:rsid w:val="00227CDE"/>
    <w:rsid w:val="00230FED"/>
    <w:rsid w:val="002319F8"/>
    <w:rsid w:val="0023237D"/>
    <w:rsid w:val="00233ACF"/>
    <w:rsid w:val="00237B80"/>
    <w:rsid w:val="00240C59"/>
    <w:rsid w:val="002426BE"/>
    <w:rsid w:val="00250316"/>
    <w:rsid w:val="0025064F"/>
    <w:rsid w:val="002515E5"/>
    <w:rsid w:val="00253DAD"/>
    <w:rsid w:val="00255118"/>
    <w:rsid w:val="00276FE5"/>
    <w:rsid w:val="00280445"/>
    <w:rsid w:val="002810B4"/>
    <w:rsid w:val="00292F3C"/>
    <w:rsid w:val="0029366C"/>
    <w:rsid w:val="00294E10"/>
    <w:rsid w:val="00296F0C"/>
    <w:rsid w:val="002A26BA"/>
    <w:rsid w:val="002A3E7C"/>
    <w:rsid w:val="002A5417"/>
    <w:rsid w:val="002B15F8"/>
    <w:rsid w:val="002C6043"/>
    <w:rsid w:val="002D2314"/>
    <w:rsid w:val="002D3D9C"/>
    <w:rsid w:val="002D47F9"/>
    <w:rsid w:val="002D6B10"/>
    <w:rsid w:val="002E32C1"/>
    <w:rsid w:val="002E373A"/>
    <w:rsid w:val="002E77CB"/>
    <w:rsid w:val="002F0899"/>
    <w:rsid w:val="002F1036"/>
    <w:rsid w:val="002F77F0"/>
    <w:rsid w:val="003007D4"/>
    <w:rsid w:val="0031490F"/>
    <w:rsid w:val="00321343"/>
    <w:rsid w:val="00322610"/>
    <w:rsid w:val="00330DD8"/>
    <w:rsid w:val="0033631B"/>
    <w:rsid w:val="00340A48"/>
    <w:rsid w:val="00341FA4"/>
    <w:rsid w:val="003425C9"/>
    <w:rsid w:val="00364884"/>
    <w:rsid w:val="00370CCB"/>
    <w:rsid w:val="00371BDC"/>
    <w:rsid w:val="00375C8B"/>
    <w:rsid w:val="00377BDF"/>
    <w:rsid w:val="00382960"/>
    <w:rsid w:val="00383251"/>
    <w:rsid w:val="00383392"/>
    <w:rsid w:val="00387BE9"/>
    <w:rsid w:val="003A0CA5"/>
    <w:rsid w:val="003A63F6"/>
    <w:rsid w:val="003B1DED"/>
    <w:rsid w:val="003B36BE"/>
    <w:rsid w:val="003B7FB2"/>
    <w:rsid w:val="003D2DF2"/>
    <w:rsid w:val="003D3105"/>
    <w:rsid w:val="003D3D23"/>
    <w:rsid w:val="003D41CD"/>
    <w:rsid w:val="003D7F1A"/>
    <w:rsid w:val="003E66D8"/>
    <w:rsid w:val="003E6D2F"/>
    <w:rsid w:val="003E7801"/>
    <w:rsid w:val="003F0869"/>
    <w:rsid w:val="003F0982"/>
    <w:rsid w:val="003F1224"/>
    <w:rsid w:val="003F1C46"/>
    <w:rsid w:val="003F58F3"/>
    <w:rsid w:val="0042208B"/>
    <w:rsid w:val="0042256A"/>
    <w:rsid w:val="00432635"/>
    <w:rsid w:val="004329E3"/>
    <w:rsid w:val="004345CD"/>
    <w:rsid w:val="0043589E"/>
    <w:rsid w:val="00440BCE"/>
    <w:rsid w:val="00442D23"/>
    <w:rsid w:val="00454901"/>
    <w:rsid w:val="00464CF6"/>
    <w:rsid w:val="00471E06"/>
    <w:rsid w:val="00473F3F"/>
    <w:rsid w:val="0047783D"/>
    <w:rsid w:val="004969FB"/>
    <w:rsid w:val="004976E4"/>
    <w:rsid w:val="004A2D7F"/>
    <w:rsid w:val="004A5555"/>
    <w:rsid w:val="004A7F2F"/>
    <w:rsid w:val="004B05E5"/>
    <w:rsid w:val="004B2908"/>
    <w:rsid w:val="004C097C"/>
    <w:rsid w:val="004C7E0B"/>
    <w:rsid w:val="004D1472"/>
    <w:rsid w:val="004D6AF9"/>
    <w:rsid w:val="004E5D81"/>
    <w:rsid w:val="004F4B05"/>
    <w:rsid w:val="00507B65"/>
    <w:rsid w:val="0051140E"/>
    <w:rsid w:val="005150C5"/>
    <w:rsid w:val="00526902"/>
    <w:rsid w:val="00526B67"/>
    <w:rsid w:val="005333C5"/>
    <w:rsid w:val="00533623"/>
    <w:rsid w:val="00534EF2"/>
    <w:rsid w:val="00535D2B"/>
    <w:rsid w:val="005431EA"/>
    <w:rsid w:val="00545A4C"/>
    <w:rsid w:val="005540B8"/>
    <w:rsid w:val="00554E90"/>
    <w:rsid w:val="005567AB"/>
    <w:rsid w:val="00560B20"/>
    <w:rsid w:val="00561DF7"/>
    <w:rsid w:val="00567C79"/>
    <w:rsid w:val="00573D53"/>
    <w:rsid w:val="00584BB7"/>
    <w:rsid w:val="00590576"/>
    <w:rsid w:val="005909BA"/>
    <w:rsid w:val="00596486"/>
    <w:rsid w:val="005A1E1C"/>
    <w:rsid w:val="005A626A"/>
    <w:rsid w:val="005A7CB1"/>
    <w:rsid w:val="005B1C74"/>
    <w:rsid w:val="005B26BB"/>
    <w:rsid w:val="005C3758"/>
    <w:rsid w:val="005C4E92"/>
    <w:rsid w:val="005C57EF"/>
    <w:rsid w:val="005D3989"/>
    <w:rsid w:val="005E6337"/>
    <w:rsid w:val="005E63F8"/>
    <w:rsid w:val="006125FA"/>
    <w:rsid w:val="006200CC"/>
    <w:rsid w:val="00626640"/>
    <w:rsid w:val="00632315"/>
    <w:rsid w:val="00636A0E"/>
    <w:rsid w:val="00641503"/>
    <w:rsid w:val="00651D7A"/>
    <w:rsid w:val="006525B1"/>
    <w:rsid w:val="00653E9C"/>
    <w:rsid w:val="00653F3C"/>
    <w:rsid w:val="00656DBB"/>
    <w:rsid w:val="00660F8F"/>
    <w:rsid w:val="00663E77"/>
    <w:rsid w:val="00667505"/>
    <w:rsid w:val="00667F13"/>
    <w:rsid w:val="00674A08"/>
    <w:rsid w:val="006772D5"/>
    <w:rsid w:val="006A52F0"/>
    <w:rsid w:val="006A6BDC"/>
    <w:rsid w:val="006B05E5"/>
    <w:rsid w:val="006B2A4C"/>
    <w:rsid w:val="006B3AF9"/>
    <w:rsid w:val="006B4A15"/>
    <w:rsid w:val="006B632F"/>
    <w:rsid w:val="006B68BF"/>
    <w:rsid w:val="006B74AA"/>
    <w:rsid w:val="006C51BB"/>
    <w:rsid w:val="006C5485"/>
    <w:rsid w:val="006C5526"/>
    <w:rsid w:val="006D5237"/>
    <w:rsid w:val="006D652A"/>
    <w:rsid w:val="006E4689"/>
    <w:rsid w:val="006E5B0A"/>
    <w:rsid w:val="006E6EB9"/>
    <w:rsid w:val="006E7D64"/>
    <w:rsid w:val="006F21E8"/>
    <w:rsid w:val="006F3A4E"/>
    <w:rsid w:val="006F5B0C"/>
    <w:rsid w:val="00700A5D"/>
    <w:rsid w:val="00700F2B"/>
    <w:rsid w:val="007015AB"/>
    <w:rsid w:val="00703EA1"/>
    <w:rsid w:val="00704B55"/>
    <w:rsid w:val="0070526D"/>
    <w:rsid w:val="00707784"/>
    <w:rsid w:val="007102BC"/>
    <w:rsid w:val="0071627D"/>
    <w:rsid w:val="00720CA8"/>
    <w:rsid w:val="00726264"/>
    <w:rsid w:val="00726893"/>
    <w:rsid w:val="007342A0"/>
    <w:rsid w:val="00736104"/>
    <w:rsid w:val="0074288B"/>
    <w:rsid w:val="007448EA"/>
    <w:rsid w:val="00747427"/>
    <w:rsid w:val="00751096"/>
    <w:rsid w:val="0075130A"/>
    <w:rsid w:val="00756D86"/>
    <w:rsid w:val="00761FAF"/>
    <w:rsid w:val="00763D40"/>
    <w:rsid w:val="00767588"/>
    <w:rsid w:val="0079163C"/>
    <w:rsid w:val="00796417"/>
    <w:rsid w:val="00797437"/>
    <w:rsid w:val="007A5A78"/>
    <w:rsid w:val="007A6281"/>
    <w:rsid w:val="007A6335"/>
    <w:rsid w:val="007D0CF8"/>
    <w:rsid w:val="007D78DE"/>
    <w:rsid w:val="007E41B1"/>
    <w:rsid w:val="007E76B3"/>
    <w:rsid w:val="007F284C"/>
    <w:rsid w:val="007F2CDD"/>
    <w:rsid w:val="007F4C0B"/>
    <w:rsid w:val="00804002"/>
    <w:rsid w:val="008052E9"/>
    <w:rsid w:val="00806800"/>
    <w:rsid w:val="0080683D"/>
    <w:rsid w:val="00807BAE"/>
    <w:rsid w:val="00820491"/>
    <w:rsid w:val="00824E43"/>
    <w:rsid w:val="00826939"/>
    <w:rsid w:val="00832D98"/>
    <w:rsid w:val="00835AA0"/>
    <w:rsid w:val="008366B0"/>
    <w:rsid w:val="00840975"/>
    <w:rsid w:val="0084199C"/>
    <w:rsid w:val="0084784A"/>
    <w:rsid w:val="00847A06"/>
    <w:rsid w:val="0085129A"/>
    <w:rsid w:val="00853AEC"/>
    <w:rsid w:val="008631C5"/>
    <w:rsid w:val="008643B2"/>
    <w:rsid w:val="008657F5"/>
    <w:rsid w:val="00865CED"/>
    <w:rsid w:val="00871608"/>
    <w:rsid w:val="00875B5D"/>
    <w:rsid w:val="00875CD7"/>
    <w:rsid w:val="00876734"/>
    <w:rsid w:val="0088682E"/>
    <w:rsid w:val="0088704B"/>
    <w:rsid w:val="00887FF3"/>
    <w:rsid w:val="008907AA"/>
    <w:rsid w:val="00891B33"/>
    <w:rsid w:val="00892718"/>
    <w:rsid w:val="00894D44"/>
    <w:rsid w:val="008954F3"/>
    <w:rsid w:val="008A05A8"/>
    <w:rsid w:val="008A3C04"/>
    <w:rsid w:val="008A45E2"/>
    <w:rsid w:val="008B1CF3"/>
    <w:rsid w:val="008B2B09"/>
    <w:rsid w:val="008B3E41"/>
    <w:rsid w:val="008B4FE2"/>
    <w:rsid w:val="008C4330"/>
    <w:rsid w:val="008D0686"/>
    <w:rsid w:val="008D0DCA"/>
    <w:rsid w:val="008D5B53"/>
    <w:rsid w:val="008D7421"/>
    <w:rsid w:val="008E56A3"/>
    <w:rsid w:val="008F2419"/>
    <w:rsid w:val="008F3AEE"/>
    <w:rsid w:val="00900EF5"/>
    <w:rsid w:val="00914EB0"/>
    <w:rsid w:val="009276E9"/>
    <w:rsid w:val="00943C7E"/>
    <w:rsid w:val="009475F0"/>
    <w:rsid w:val="00970125"/>
    <w:rsid w:val="0097092A"/>
    <w:rsid w:val="00970F4E"/>
    <w:rsid w:val="00975DF8"/>
    <w:rsid w:val="0097706C"/>
    <w:rsid w:val="00992176"/>
    <w:rsid w:val="009951F0"/>
    <w:rsid w:val="00995FB9"/>
    <w:rsid w:val="009977D2"/>
    <w:rsid w:val="009A2275"/>
    <w:rsid w:val="009A3B0E"/>
    <w:rsid w:val="009B0A5C"/>
    <w:rsid w:val="009B3079"/>
    <w:rsid w:val="009B4AA0"/>
    <w:rsid w:val="009B5359"/>
    <w:rsid w:val="009B63BE"/>
    <w:rsid w:val="009C2EB9"/>
    <w:rsid w:val="009C6069"/>
    <w:rsid w:val="009D399E"/>
    <w:rsid w:val="009E522B"/>
    <w:rsid w:val="009F2E8F"/>
    <w:rsid w:val="009F44EC"/>
    <w:rsid w:val="009F6D70"/>
    <w:rsid w:val="00A00AC5"/>
    <w:rsid w:val="00A01216"/>
    <w:rsid w:val="00A01654"/>
    <w:rsid w:val="00A01BFE"/>
    <w:rsid w:val="00A0252D"/>
    <w:rsid w:val="00A06087"/>
    <w:rsid w:val="00A13647"/>
    <w:rsid w:val="00A14245"/>
    <w:rsid w:val="00A15FDB"/>
    <w:rsid w:val="00A20674"/>
    <w:rsid w:val="00A238E9"/>
    <w:rsid w:val="00A24FE1"/>
    <w:rsid w:val="00A41ADE"/>
    <w:rsid w:val="00A45D09"/>
    <w:rsid w:val="00A530A7"/>
    <w:rsid w:val="00A57B1D"/>
    <w:rsid w:val="00A608FD"/>
    <w:rsid w:val="00A61633"/>
    <w:rsid w:val="00A62F50"/>
    <w:rsid w:val="00A716D2"/>
    <w:rsid w:val="00A728DE"/>
    <w:rsid w:val="00A74721"/>
    <w:rsid w:val="00A77819"/>
    <w:rsid w:val="00A80677"/>
    <w:rsid w:val="00A84B64"/>
    <w:rsid w:val="00A9567D"/>
    <w:rsid w:val="00A96DD1"/>
    <w:rsid w:val="00AA1488"/>
    <w:rsid w:val="00AA19E8"/>
    <w:rsid w:val="00AB30B3"/>
    <w:rsid w:val="00AB5D6F"/>
    <w:rsid w:val="00AB6FFE"/>
    <w:rsid w:val="00AB7539"/>
    <w:rsid w:val="00AC26BC"/>
    <w:rsid w:val="00AD58FE"/>
    <w:rsid w:val="00AD6E75"/>
    <w:rsid w:val="00AE6208"/>
    <w:rsid w:val="00AE6F87"/>
    <w:rsid w:val="00AF0F98"/>
    <w:rsid w:val="00AF2066"/>
    <w:rsid w:val="00B0120C"/>
    <w:rsid w:val="00B068BE"/>
    <w:rsid w:val="00B10017"/>
    <w:rsid w:val="00B404C6"/>
    <w:rsid w:val="00B425FC"/>
    <w:rsid w:val="00B43297"/>
    <w:rsid w:val="00B51250"/>
    <w:rsid w:val="00B51E5F"/>
    <w:rsid w:val="00B55037"/>
    <w:rsid w:val="00B607AA"/>
    <w:rsid w:val="00B6291D"/>
    <w:rsid w:val="00B6634A"/>
    <w:rsid w:val="00B70E0E"/>
    <w:rsid w:val="00B7707F"/>
    <w:rsid w:val="00B770E0"/>
    <w:rsid w:val="00B8192D"/>
    <w:rsid w:val="00B82C81"/>
    <w:rsid w:val="00B87746"/>
    <w:rsid w:val="00B9067B"/>
    <w:rsid w:val="00B91B8B"/>
    <w:rsid w:val="00B91E46"/>
    <w:rsid w:val="00B95EAE"/>
    <w:rsid w:val="00B97333"/>
    <w:rsid w:val="00BC2179"/>
    <w:rsid w:val="00BD48EE"/>
    <w:rsid w:val="00BE1650"/>
    <w:rsid w:val="00BE7951"/>
    <w:rsid w:val="00BF0F8D"/>
    <w:rsid w:val="00BF0FA3"/>
    <w:rsid w:val="00BF41BE"/>
    <w:rsid w:val="00BF64F8"/>
    <w:rsid w:val="00C00322"/>
    <w:rsid w:val="00C0506C"/>
    <w:rsid w:val="00C13997"/>
    <w:rsid w:val="00C21F50"/>
    <w:rsid w:val="00C31871"/>
    <w:rsid w:val="00C37E16"/>
    <w:rsid w:val="00C45A4F"/>
    <w:rsid w:val="00C462F2"/>
    <w:rsid w:val="00C534E6"/>
    <w:rsid w:val="00C606DE"/>
    <w:rsid w:val="00C63DC9"/>
    <w:rsid w:val="00C72E9A"/>
    <w:rsid w:val="00C754E3"/>
    <w:rsid w:val="00C75750"/>
    <w:rsid w:val="00C94F9D"/>
    <w:rsid w:val="00C95248"/>
    <w:rsid w:val="00C964DF"/>
    <w:rsid w:val="00CA023C"/>
    <w:rsid w:val="00CA0BF0"/>
    <w:rsid w:val="00CA409C"/>
    <w:rsid w:val="00CB1E5C"/>
    <w:rsid w:val="00CB607E"/>
    <w:rsid w:val="00CB7BD0"/>
    <w:rsid w:val="00CB7D1A"/>
    <w:rsid w:val="00CC5362"/>
    <w:rsid w:val="00CC58C5"/>
    <w:rsid w:val="00CC664F"/>
    <w:rsid w:val="00CD37EB"/>
    <w:rsid w:val="00CE1D1E"/>
    <w:rsid w:val="00CE459E"/>
    <w:rsid w:val="00CE4A8A"/>
    <w:rsid w:val="00CF10AB"/>
    <w:rsid w:val="00CF5547"/>
    <w:rsid w:val="00D0120C"/>
    <w:rsid w:val="00D02A2A"/>
    <w:rsid w:val="00D0688F"/>
    <w:rsid w:val="00D1691F"/>
    <w:rsid w:val="00D262D2"/>
    <w:rsid w:val="00D30AE6"/>
    <w:rsid w:val="00D32825"/>
    <w:rsid w:val="00D35F29"/>
    <w:rsid w:val="00D46E2F"/>
    <w:rsid w:val="00D46EE2"/>
    <w:rsid w:val="00D47810"/>
    <w:rsid w:val="00D52A56"/>
    <w:rsid w:val="00D53BE2"/>
    <w:rsid w:val="00D661EA"/>
    <w:rsid w:val="00D703AD"/>
    <w:rsid w:val="00D7267D"/>
    <w:rsid w:val="00D77189"/>
    <w:rsid w:val="00D81F50"/>
    <w:rsid w:val="00D86D95"/>
    <w:rsid w:val="00D87D63"/>
    <w:rsid w:val="00D9608C"/>
    <w:rsid w:val="00DA29B4"/>
    <w:rsid w:val="00DB2665"/>
    <w:rsid w:val="00DB72A4"/>
    <w:rsid w:val="00DD38C8"/>
    <w:rsid w:val="00DD6A39"/>
    <w:rsid w:val="00DE138F"/>
    <w:rsid w:val="00DF4D04"/>
    <w:rsid w:val="00DF5443"/>
    <w:rsid w:val="00DF6F0A"/>
    <w:rsid w:val="00E01C4D"/>
    <w:rsid w:val="00E147B7"/>
    <w:rsid w:val="00E178D7"/>
    <w:rsid w:val="00E206AC"/>
    <w:rsid w:val="00E23150"/>
    <w:rsid w:val="00E2367A"/>
    <w:rsid w:val="00E318A1"/>
    <w:rsid w:val="00E321C7"/>
    <w:rsid w:val="00E4416E"/>
    <w:rsid w:val="00E44708"/>
    <w:rsid w:val="00E505C9"/>
    <w:rsid w:val="00E51134"/>
    <w:rsid w:val="00E55A70"/>
    <w:rsid w:val="00E631AB"/>
    <w:rsid w:val="00E71A86"/>
    <w:rsid w:val="00E72AA2"/>
    <w:rsid w:val="00E7588C"/>
    <w:rsid w:val="00E77D85"/>
    <w:rsid w:val="00E841DF"/>
    <w:rsid w:val="00E8453B"/>
    <w:rsid w:val="00E86FA2"/>
    <w:rsid w:val="00E87F5A"/>
    <w:rsid w:val="00E91506"/>
    <w:rsid w:val="00E92391"/>
    <w:rsid w:val="00E92D7F"/>
    <w:rsid w:val="00E93284"/>
    <w:rsid w:val="00E969B7"/>
    <w:rsid w:val="00EA31A5"/>
    <w:rsid w:val="00EB3972"/>
    <w:rsid w:val="00EC531B"/>
    <w:rsid w:val="00EC6D9D"/>
    <w:rsid w:val="00ED06DC"/>
    <w:rsid w:val="00ED0C04"/>
    <w:rsid w:val="00ED4664"/>
    <w:rsid w:val="00ED7D2F"/>
    <w:rsid w:val="00EE254A"/>
    <w:rsid w:val="00EE7F9C"/>
    <w:rsid w:val="00EF01B1"/>
    <w:rsid w:val="00EF11F3"/>
    <w:rsid w:val="00EF3A35"/>
    <w:rsid w:val="00EF504E"/>
    <w:rsid w:val="00EF6E25"/>
    <w:rsid w:val="00EF6FD3"/>
    <w:rsid w:val="00EF7A07"/>
    <w:rsid w:val="00F03FB5"/>
    <w:rsid w:val="00F05D7F"/>
    <w:rsid w:val="00F14027"/>
    <w:rsid w:val="00F148C5"/>
    <w:rsid w:val="00F17362"/>
    <w:rsid w:val="00F3492D"/>
    <w:rsid w:val="00F365E6"/>
    <w:rsid w:val="00F446A7"/>
    <w:rsid w:val="00F4786F"/>
    <w:rsid w:val="00F47EDB"/>
    <w:rsid w:val="00F57FD6"/>
    <w:rsid w:val="00F64CF2"/>
    <w:rsid w:val="00F67C16"/>
    <w:rsid w:val="00F717A4"/>
    <w:rsid w:val="00F73BF7"/>
    <w:rsid w:val="00F809F8"/>
    <w:rsid w:val="00F91514"/>
    <w:rsid w:val="00FA0C9B"/>
    <w:rsid w:val="00FA1D62"/>
    <w:rsid w:val="00FB3C26"/>
    <w:rsid w:val="00FB71A5"/>
    <w:rsid w:val="00FB79EA"/>
    <w:rsid w:val="00FC0307"/>
    <w:rsid w:val="00FC1D0F"/>
    <w:rsid w:val="00FC5FD8"/>
    <w:rsid w:val="00FC69C2"/>
    <w:rsid w:val="00FD03FA"/>
    <w:rsid w:val="00FE2A51"/>
    <w:rsid w:val="00FE5FB6"/>
    <w:rsid w:val="00FE6C7F"/>
    <w:rsid w:val="00FE7F18"/>
    <w:rsid w:val="00FF2E3B"/>
    <w:rsid w:val="00FF5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ED97D"/>
  <w15:chartTrackingRefBased/>
  <w15:docId w15:val="{A11AAD77-7EBE-4911-BD6A-A387762D3E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61EA"/>
    <w:pPr>
      <w:spacing w:after="0" w:line="360" w:lineRule="auto"/>
    </w:pPr>
    <w:rPr>
      <w:rFonts w:ascii="QuayItcTBoo" w:eastAsia="Times New Roman" w:hAnsi="QuayItcTBoo" w:cs="Times New Roman"/>
      <w:szCs w:val="24"/>
      <w:lang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471E06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berschrift3">
    <w:name w:val="heading 3"/>
    <w:basedOn w:val="Standard"/>
    <w:link w:val="berschrift3Zchn"/>
    <w:uiPriority w:val="9"/>
    <w:qFormat/>
    <w:rsid w:val="00D661E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661E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B3972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EB397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Kommentartext">
    <w:name w:val="annotation text"/>
    <w:basedOn w:val="Standard"/>
    <w:link w:val="KommentartextZchn"/>
    <w:uiPriority w:val="99"/>
    <w:unhideWhenUsed/>
    <w:rsid w:val="00EB3972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B3972"/>
    <w:rPr>
      <w:sz w:val="20"/>
      <w:szCs w:val="20"/>
    </w:rPr>
  </w:style>
  <w:style w:type="paragraph" w:customStyle="1" w:styleId="Default">
    <w:name w:val="Default"/>
    <w:rsid w:val="00EB3972"/>
    <w:pPr>
      <w:autoSpaceDE w:val="0"/>
      <w:autoSpaceDN w:val="0"/>
      <w:adjustRightInd w:val="0"/>
      <w:spacing w:after="0" w:line="240" w:lineRule="auto"/>
    </w:pPr>
    <w:rPr>
      <w:rFonts w:ascii="ClanOT-Book" w:hAnsi="ClanOT-Book" w:cs="ClanOT-Book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B3972"/>
    <w:rPr>
      <w:sz w:val="16"/>
      <w:szCs w:val="16"/>
    </w:rPr>
  </w:style>
  <w:style w:type="character" w:styleId="Fett">
    <w:name w:val="Strong"/>
    <w:basedOn w:val="Absatz-Standardschriftart"/>
    <w:uiPriority w:val="22"/>
    <w:qFormat/>
    <w:rsid w:val="00EB397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40C59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5DAB"/>
    <w:pPr>
      <w:spacing w:after="0"/>
    </w:pPr>
    <w:rPr>
      <w:rFonts w:ascii="QuayItcTBoo" w:eastAsia="Times New Roman" w:hAnsi="QuayItcTBoo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5DAB"/>
    <w:rPr>
      <w:rFonts w:ascii="QuayItcTBoo" w:eastAsia="Times New Roman" w:hAnsi="QuayItcTBoo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9A0"/>
    <w:rPr>
      <w:rFonts w:ascii="Segoe UI" w:eastAsia="Times New Roman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894D44"/>
    <w:pPr>
      <w:spacing w:after="0" w:line="240" w:lineRule="auto"/>
    </w:pPr>
    <w:rPr>
      <w:rFonts w:ascii="QuayItcTBoo" w:eastAsia="Times New Roman" w:hAnsi="QuayItcTBoo" w:cs="Times New Roman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44EC"/>
    <w:rPr>
      <w:color w:val="605E5C"/>
      <w:shd w:val="clear" w:color="auto" w:fill="E1DFDD"/>
    </w:rPr>
  </w:style>
  <w:style w:type="character" w:customStyle="1" w:styleId="markedcontent">
    <w:name w:val="markedcontent"/>
    <w:basedOn w:val="Absatz-Standardschriftart"/>
    <w:rsid w:val="00E7588C"/>
  </w:style>
  <w:style w:type="character" w:styleId="BesuchterLink">
    <w:name w:val="FollowedHyperlink"/>
    <w:basedOn w:val="Absatz-Standardschriftart"/>
    <w:uiPriority w:val="99"/>
    <w:semiHidden/>
    <w:unhideWhenUsed/>
    <w:rsid w:val="0074288B"/>
    <w:rPr>
      <w:color w:val="954F72" w:themeColor="followedHyperlink"/>
      <w:u w:val="singl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471E0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833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6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99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48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3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5921842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0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14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45590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574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0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43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57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6504826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9476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99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271694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4006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54690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88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4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3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543116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58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.klein@bmb-consul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about:blank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gmh-gruppe.de/en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638978-d130-48da-85cb-7e57c3606cac" xsi:nil="true"/>
    <lcf76f155ced4ddcb4097134ff3c332f xmlns="39e0115f-cdd0-445a-9af4-685cd6bb241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F6F9E4098FA24FA228877026888409" ma:contentTypeVersion="18" ma:contentTypeDescription="Ein neues Dokument erstellen." ma:contentTypeScope="" ma:versionID="c8e065e0254af1fdc56671d50c6320f4">
  <xsd:schema xmlns:xsd="http://www.w3.org/2001/XMLSchema" xmlns:xs="http://www.w3.org/2001/XMLSchema" xmlns:p="http://schemas.microsoft.com/office/2006/metadata/properties" xmlns:ns2="39e0115f-cdd0-445a-9af4-685cd6bb2419" xmlns:ns3="c0638978-d130-48da-85cb-7e57c3606cac" targetNamespace="http://schemas.microsoft.com/office/2006/metadata/properties" ma:root="true" ma:fieldsID="7f65c0f370b79d44ef8cc83dc2bc607a" ns2:_="" ns3:_="">
    <xsd:import namespace="39e0115f-cdd0-445a-9af4-685cd6bb2419"/>
    <xsd:import namespace="c0638978-d130-48da-85cb-7e57c3606c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0115f-cdd0-445a-9af4-685cd6bb2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206d89f0-20fd-4f65-b2a7-88aca593fb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38978-d130-48da-85cb-7e57c3606ca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efe74d-675f-4920-8437-96d31c149be5}" ma:internalName="TaxCatchAll" ma:showField="CatchAllData" ma:web="c0638978-d130-48da-85cb-7e57c3606c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189F75-C452-4715-A153-ACF501942CE7}">
  <ds:schemaRefs>
    <ds:schemaRef ds:uri="39e0115f-cdd0-445a-9af4-685cd6bb2419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c0638978-d130-48da-85cb-7e57c3606cac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CCDB37B-B554-4204-9548-801297753A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9103F99-9834-4657-B723-8E2349FBDC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e0115f-cdd0-445a-9af4-685cd6bb2419"/>
    <ds:schemaRef ds:uri="c0638978-d130-48da-85cb-7e57c3606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453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Wolf, Marcus</dc:creator>
  <cp:keywords/>
  <cp:lastModifiedBy>Tegeler, Luise</cp:lastModifiedBy>
  <cp:revision>8</cp:revision>
  <cp:lastPrinted>2024-02-26T05:05:00Z</cp:lastPrinted>
  <dcterms:created xsi:type="dcterms:W3CDTF">2025-10-16T23:33:00Z</dcterms:created>
  <dcterms:modified xsi:type="dcterms:W3CDTF">2025-10-20T08:22:00Z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0x010100ABF6F9E4098FA24FA228877026888409</vt:lpwstr>
  </property>
  <property fmtid="{D5CDD505-2E9C-101B-9397-08002B2CF9AE}" pid="3" name="MediaServiceImageTags">
    <vt:lpwstr/>
  </property>
  <property fmtid="{D5CDD505-2E9C-101B-9397-08002B2CF9AE}" pid="4" name="docLang">
    <vt:lpwstr>en</vt:lpwstr>
  </property>
</Properties>
</file>